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A5B9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A5B9D">
        <w:rPr>
          <w:rFonts w:ascii="Century" w:eastAsia="Calibri" w:hAnsi="Century"/>
          <w:bCs/>
          <w:sz w:val="32"/>
          <w:szCs w:val="36"/>
          <w:lang w:eastAsia="ru-RU"/>
        </w:rPr>
        <w:t>11</w:t>
      </w:r>
    </w:p>
    <w:p w:rsidR="00CC1632" w:rsidRPr="0079774D" w:rsidRDefault="001A5B9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A5B9D">
        <w:rPr>
          <w:rFonts w:ascii="Century" w:hAnsi="Century"/>
          <w:b/>
          <w:sz w:val="24"/>
          <w:szCs w:val="24"/>
        </w:rPr>
        <w:t>Файфар Марії Юріївні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A5B9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A5B9D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A5B9D">
        <w:rPr>
          <w:rFonts w:ascii="Century" w:hAnsi="Century"/>
          <w:sz w:val="24"/>
          <w:szCs w:val="24"/>
        </w:rPr>
        <w:t>Файфар Марії Юріївні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A5B9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A5B9D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A5B9D">
        <w:rPr>
          <w:rFonts w:ascii="Century" w:hAnsi="Century"/>
          <w:bCs/>
          <w:sz w:val="24"/>
          <w:szCs w:val="24"/>
        </w:rPr>
        <w:t>Файфар Марії Юріївні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A5B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A5B9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A5B9D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A5B9D">
        <w:rPr>
          <w:rFonts w:ascii="Century" w:hAnsi="Century"/>
          <w:bCs/>
          <w:sz w:val="24"/>
          <w:szCs w:val="24"/>
        </w:rPr>
        <w:t>Файфар Марії Юріївні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A5B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A5B9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A5B9D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B9D" w:rsidRDefault="001A5B9D" w:rsidP="00381483">
      <w:pPr>
        <w:spacing w:after="0" w:line="240" w:lineRule="auto"/>
      </w:pPr>
      <w:r>
        <w:separator/>
      </w:r>
    </w:p>
  </w:endnote>
  <w:endnote w:type="continuationSeparator" w:id="0">
    <w:p w:rsidR="001A5B9D" w:rsidRDefault="001A5B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B9D" w:rsidRDefault="001A5B9D" w:rsidP="00381483">
      <w:pPr>
        <w:spacing w:after="0" w:line="240" w:lineRule="auto"/>
      </w:pPr>
      <w:r>
        <w:separator/>
      </w:r>
    </w:p>
  </w:footnote>
  <w:footnote w:type="continuationSeparator" w:id="0">
    <w:p w:rsidR="001A5B9D" w:rsidRDefault="001A5B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A5B9D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